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2"/>
        <w:spacing w:after="0" w:before="200"/>
        <w:contextualSpacing w:val="false"/>
      </w:pPr>
      <w:r>
        <w:rPr/>
        <w:t xml:space="preserve">IHTSDO Observables meeting </w:t>
      </w:r>
    </w:p>
    <w:p>
      <w:pPr>
        <w:pStyle w:val="style0"/>
      </w:pPr>
      <w:r>
        <w:rPr/>
        <w:t>2013-03-25  8PM UCT</w:t>
      </w:r>
    </w:p>
    <w:p>
      <w:pPr>
        <w:pStyle w:val="style2"/>
      </w:pPr>
      <w:r>
        <w:rPr/>
        <w:t>Attendees</w:t>
      </w:r>
    </w:p>
    <w:p>
      <w:pPr>
        <w:pStyle w:val="style24"/>
        <w:numPr>
          <w:ilvl w:val="0"/>
          <w:numId w:val="1"/>
        </w:numPr>
      </w:pPr>
      <w:r>
        <w:rPr/>
        <w:t>Chair: Daniel Karlsson (DK), Kent Spackman (KS), David Sperz</w:t>
      </w:r>
      <w:r>
        <w:rPr/>
        <w:t>e</w:t>
      </w:r>
      <w:r>
        <w:rPr/>
        <w:t>l (DS), Michael Osborne (MO), Viet Nguyen(VN), Rob Hausam (RH), Steven Rounds (SR)</w:t>
      </w:r>
    </w:p>
    <w:p>
      <w:pPr>
        <w:pStyle w:val="style2"/>
      </w:pPr>
      <w:r>
        <w:rPr/>
        <w:t>Minutes</w:t>
      </w:r>
    </w:p>
    <w:p>
      <w:pPr>
        <w:pStyle w:val="style25"/>
      </w:pPr>
      <w:r>
        <w:rPr>
          <w:rFonts w:cs="" w:eastAsia="Droid Sans Fallback"/>
          <w:b/>
          <w:bCs/>
          <w:color w:val="4F81BD"/>
          <w:sz w:val="24"/>
          <w:szCs w:val="24"/>
          <w:lang w:bidi="ar-SA" w:eastAsia="en-US" w:val="en-AU"/>
        </w:rPr>
        <w:t>Prioritization</w:t>
      </w:r>
    </w:p>
    <w:p>
      <w:pPr>
        <w:pStyle w:val="style20"/>
      </w:pPr>
      <w:r>
        <w:rPr/>
        <w:t>DK&gt; Prioritisation of Order communcation and result reporting  projects from the Member forum (in order of priority): Laboratory medicine, organisms, observables, imaging, specimens</w:t>
      </w:r>
      <w:r>
        <w:rPr/>
        <w:t xml:space="preserve"> </w:t>
      </w:r>
    </w:p>
    <w:p>
      <w:pPr>
        <w:pStyle w:val="style25"/>
      </w:pPr>
      <w:r>
        <w:rPr/>
        <w:t>Susceptibility (RH)</w:t>
      </w:r>
    </w:p>
    <w:p>
      <w:pPr>
        <w:pStyle w:val="style20"/>
      </w:pPr>
      <w:r>
        <w:rPr/>
        <w:t xml:space="preserve">Rob Hausam presentation on text definitions and Concept model for susceptibility testing (artf7619) as part of consultant terminologist program. There is </w:t>
      </w:r>
      <w:r>
        <w:rPr/>
        <w:t>currently</w:t>
      </w:r>
      <w:r>
        <w:rPr/>
        <w:t xml:space="preserve"> a lot of content in LOINC but not much in SNOMED CT. </w:t>
      </w:r>
      <w:hyperlink r:id="rId2">
        <w:r>
          <w:rPr>
            <w:rStyle w:val="style18"/>
          </w:rPr>
          <w:t>Link</w:t>
        </w:r>
      </w:hyperlink>
    </w:p>
    <w:p>
      <w:pPr>
        <w:pStyle w:val="style20"/>
      </w:pPr>
      <w:r>
        <w:rPr/>
        <w:t xml:space="preserve">Susceptibility </w:t>
      </w:r>
      <w:r>
        <w:rPr/>
        <w:t>is defined as</w:t>
      </w:r>
      <w:r>
        <w:rPr/>
        <w:t xml:space="preserve"> “Degree of inhibition of bacterial growth”. Scale is “OrdQn” which is ordinal or quantitative. There is a movement </w:t>
      </w:r>
      <w:r>
        <w:rPr/>
        <w:t>in the use of HL7 v2 messages</w:t>
      </w:r>
      <w:r>
        <w:rPr/>
        <w:t xml:space="preserve"> towards using numeric values in OBX-5 and moving the interpretations (S,R,I) to OBX-8.  Example of proposed SNOMED CT model shown : </w:t>
      </w:r>
      <w:bookmarkStart w:id="0" w:name="__DdeLink__119_1032567750"/>
      <w:r>
        <w:rPr/>
        <w:t xml:space="preserve">Ampicillin+Sulbactam </w:t>
      </w:r>
      <w:bookmarkEnd w:id="0"/>
      <w:r>
        <w:rPr/>
        <w:t xml:space="preserve">(observable).  Substance or product as the target of TOWARDS?  </w:t>
      </w:r>
      <w:r>
        <w:rPr/>
        <w:t>Currently in SNOMED CT multi-substance drugs are represented as drug products.</w:t>
      </w:r>
    </w:p>
    <w:p>
      <w:pPr>
        <w:pStyle w:val="style20"/>
      </w:pPr>
      <w:r>
        <w:rPr/>
        <w:t xml:space="preserve">KS&gt; Should be towards a substance. This example shows a mixture of the two substances, </w:t>
      </w:r>
      <w:r>
        <w:rPr/>
        <w:t>i.e. a single substance with two granular parts.</w:t>
      </w:r>
    </w:p>
    <w:p>
      <w:pPr>
        <w:pStyle w:val="style20"/>
      </w:pPr>
      <w:r>
        <w:rPr/>
        <w:t>RH&gt; Need to work on this</w:t>
      </w:r>
    </w:p>
    <w:p>
      <w:pPr>
        <w:pStyle w:val="style20"/>
      </w:pPr>
      <w:r>
        <w:rPr/>
        <w:t xml:space="preserve">DK&gt; Susceptibility is a disposition. </w:t>
      </w:r>
    </w:p>
    <w:p>
      <w:pPr>
        <w:pStyle w:val="style20"/>
      </w:pPr>
      <w:r>
        <w:rPr/>
        <w:t>RH&gt; I didn’t investigate this to any great extent.</w:t>
      </w:r>
    </w:p>
    <w:p>
      <w:pPr>
        <w:pStyle w:val="style20"/>
      </w:pPr>
      <w:r>
        <w:rPr/>
        <w:t xml:space="preserve">KS&gt; I don’t know of any use cases that want to separate </w:t>
      </w:r>
      <w:r>
        <w:rPr/>
        <w:t>qualities, process characteristics</w:t>
      </w:r>
      <w:r>
        <w:rPr/>
        <w:t xml:space="preserve"> and dispositions </w:t>
      </w:r>
      <w:r>
        <w:rPr/>
        <w:t>other than that they may require different attributes</w:t>
      </w:r>
      <w:r>
        <w:rPr/>
        <w:t>.</w:t>
      </w:r>
    </w:p>
    <w:p>
      <w:pPr>
        <w:pStyle w:val="style20"/>
      </w:pPr>
      <w:r>
        <w:rPr/>
        <w:t>RH&gt; Scale “ordinal OR quantitative” needs some discussion.  Is it better to use quantitative alone?</w:t>
      </w:r>
    </w:p>
    <w:p>
      <w:pPr>
        <w:pStyle w:val="style20"/>
      </w:pPr>
      <w:r>
        <w:rPr/>
        <w:t xml:space="preserve">KS&gt; If you need to use the same code for ordering and results, then this allows you to order without knowing how the lab will report it. </w:t>
      </w:r>
      <w:r>
        <w:rPr/>
        <w:t xml:space="preserve">When ordering the </w:t>
      </w:r>
      <w:r>
        <w:rPr/>
        <w:t>scale may be unknown, but when reporting the scale is always quantitative or ordinal. Possibly both an ordinal and a quantitative value is reported.</w:t>
      </w:r>
    </w:p>
    <w:p>
      <w:pPr>
        <w:pStyle w:val="style20"/>
      </w:pPr>
      <w:r>
        <w:rPr/>
        <w:t>MO&gt; I would like to see an ordinal version and a quantitative version of susceptibility codes</w:t>
      </w:r>
    </w:p>
    <w:p>
      <w:pPr>
        <w:pStyle w:val="style20"/>
      </w:pPr>
      <w:r>
        <w:rPr/>
        <w:t>RH&gt; Distinction doesn’t make a difference in clinical practice, they don’t want to make the distinction.</w:t>
      </w:r>
    </w:p>
    <w:p>
      <w:pPr>
        <w:pStyle w:val="style20"/>
      </w:pPr>
      <w:r>
        <w:rPr/>
      </w:r>
    </w:p>
    <w:p>
      <w:pPr>
        <w:pStyle w:val="style20"/>
        <w:pageBreakBefore/>
      </w:pPr>
      <w:r>
        <w:rPr/>
      </w:r>
    </w:p>
    <w:p>
      <w:pPr>
        <w:pStyle w:val="style25"/>
      </w:pPr>
      <w:r>
        <w:rPr/>
        <w:t>Venous Thromboembolism Risk Assessment</w:t>
      </w:r>
    </w:p>
    <w:p>
      <w:pPr>
        <w:pStyle w:val="style20"/>
      </w:pPr>
      <w:r>
        <w:rPr/>
        <w:t>David Sperzal&gt; Venous Thrombosis example from VA</w:t>
      </w:r>
    </w:p>
    <w:p>
      <w:pPr>
        <w:pStyle w:val="style20"/>
      </w:pPr>
      <w:r>
        <w:rPr/>
        <w:t>X Risk Due to Y   e.g. Venous Thrombosis High risk due to Major orthopaedic surgery.</w:t>
      </w:r>
    </w:p>
    <w:p>
      <w:pPr>
        <w:pStyle w:val="style20"/>
      </w:pPr>
      <w:r>
        <w:rPr/>
        <w:t xml:space="preserve">KS&gt; Risk is a finding context. Proposed changes to finding context model. Does risk have it’s own model? Very early days.  Risk, expectation, goal, plans are all situations. Risk is a probabilistic finding. </w:t>
      </w:r>
    </w:p>
    <w:p>
      <w:pPr>
        <w:pStyle w:val="style20"/>
      </w:pPr>
      <w:r>
        <w:rPr/>
        <w:t xml:space="preserve">DK&gt; Risk is similar to susceptibility. </w:t>
      </w:r>
      <w:r>
        <w:rPr/>
        <w:t>In t</w:t>
      </w:r>
      <w:r>
        <w:rPr/>
        <w:t xml:space="preserve">he VA forms, the level of the risk </w:t>
      </w:r>
      <w:r>
        <w:rPr/>
        <w:t>is assessed</w:t>
      </w:r>
      <w:r>
        <w:rPr/>
        <w:t>, so there might be more than one model required. E.g. a model for observations/</w:t>
      </w:r>
      <w:r>
        <w:rPr/>
        <w:t>assessment of</w:t>
      </w:r>
      <w:r>
        <w:rPr/>
        <w:t xml:space="preserve"> of risk.</w:t>
      </w:r>
    </w:p>
    <w:p>
      <w:pPr>
        <w:pStyle w:val="style20"/>
      </w:pPr>
      <w:r>
        <w:rPr/>
        <w:t>DS&gt; Observation result would be a good outcome</w:t>
      </w:r>
    </w:p>
    <w:p>
      <w:pPr>
        <w:pStyle w:val="style20"/>
      </w:pPr>
      <w:r>
        <w:rPr/>
        <w:t>KS&gt; Level of risk is a property. You could have two information entities. A “supporting evidence for” as an observation result and an assessment. They fit more into a record architecture rather than into the terminology itself. Example: Patient has a rash, patient was given penicillin, we think the rash is due to the penicillin injection. Linking them together is not something that the terminology can do.  Examples: CIMI, openEHR, EN13606 try to do this.</w:t>
      </w:r>
    </w:p>
    <w:p>
      <w:pPr>
        <w:pStyle w:val="style25"/>
      </w:pPr>
      <w:r>
        <w:rPr/>
        <w:t>Next Meeting</w:t>
      </w:r>
    </w:p>
    <w:p>
      <w:pPr>
        <w:pStyle w:val="style20"/>
      </w:pPr>
      <w:r>
        <w:rPr/>
        <w:t>Next meeting: 22</w:t>
      </w:r>
      <w:r>
        <w:rPr>
          <w:vertAlign w:val="superscript"/>
        </w:rPr>
        <w:t>nd</w:t>
      </w:r>
      <w:r>
        <w:rPr/>
        <w:t xml:space="preserve"> April 2013</w:t>
      </w:r>
    </w:p>
    <w:p>
      <w:pPr>
        <w:pStyle w:val="style20"/>
      </w:pPr>
      <w:r>
        <w:rPr/>
      </w:r>
    </w:p>
    <w:p>
      <w:pPr>
        <w:pStyle w:val="style20"/>
      </w:pPr>
      <w:r>
        <w:rPr/>
      </w:r>
    </w:p>
    <w:p>
      <w:pPr>
        <w:pStyle w:val="style0"/>
        <w:ind w:hanging="0" w:left="360" w:right="0"/>
      </w:pPr>
      <w:r>
        <w:rPr/>
      </w:r>
    </w:p>
    <w:p>
      <w:pPr>
        <w:pStyle w:val="style0"/>
        <w:ind w:hanging="0" w:left="360" w:right="0"/>
      </w:pPr>
      <w:r>
        <w:rPr/>
      </w:r>
    </w:p>
    <w:p>
      <w:pPr>
        <w:pStyle w:val="style0"/>
        <w:ind w:hanging="0" w:left="360" w:right="0"/>
      </w:pPr>
      <w:r>
        <w:rPr/>
      </w:r>
    </w:p>
    <w:p>
      <w:pPr>
        <w:pStyle w:val="style0"/>
        <w:ind w:hanging="0" w:left="360" w:right="0"/>
      </w:pPr>
      <w:r>
        <w:rPr/>
      </w:r>
    </w:p>
    <w:p>
      <w:pPr>
        <w:pStyle w:val="style0"/>
        <w:ind w:hanging="0" w:left="360" w:right="0"/>
      </w:pPr>
      <w:r>
        <w:rPr/>
      </w:r>
    </w:p>
    <w:p>
      <w:pPr>
        <w:pStyle w:val="style0"/>
        <w:widowControl/>
        <w:suppressAutoHyphens w:val="true"/>
        <w:spacing w:after="200" w:before="0" w:line="276" w:lineRule="auto"/>
        <w:contextualSpacing w:val="false"/>
      </w:pPr>
      <w:r>
        <w:rPr/>
      </w:r>
    </w:p>
    <w:sectPr>
      <w:type w:val="nextPage"/>
      <w:pgSz w:h="16838" w:w="11906"/>
      <w:pgMar w:bottom="1440" w:footer="0" w:gutter="0" w:header="0" w:left="1440" w:right="1440" w:top="1440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Calibri">
    <w:charset w:val="80"/>
    <w:family w:val="roman"/>
    <w:pitch w:val="variable"/>
  </w:font>
  <w:font w:name="Cambria">
    <w:charset w:val="80"/>
    <w:family w:val="roman"/>
    <w:pitch w:val="variable"/>
  </w:font>
  <w:font w:name="Arial">
    <w:charset w:val="80"/>
    <w:family w:val="swiss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style w:styleId="style0" w:type="paragraph">
    <w:name w:val="Default Style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Droid Sans Fallback" w:hAnsi="Calibri"/>
      <w:color w:val="00000A"/>
      <w:sz w:val="22"/>
      <w:szCs w:val="22"/>
      <w:lang w:bidi="ar-SA" w:eastAsia="en-US" w:val="en-AU"/>
    </w:rPr>
  </w:style>
  <w:style w:styleId="style1" w:type="paragraph">
    <w:name w:val="Heading 1"/>
    <w:basedOn w:val="style19"/>
    <w:next w:val="style1"/>
    <w:pPr/>
    <w:rPr/>
  </w:style>
  <w:style w:styleId="style2" w:type="paragraph">
    <w:name w:val="Heading 2"/>
    <w:basedOn w:val="style0"/>
    <w:next w:val="style2"/>
    <w:pPr>
      <w:keepNext/>
      <w:keepLines/>
      <w:spacing w:after="0" w:before="200"/>
      <w:contextualSpacing w:val="false"/>
    </w:pPr>
    <w:rPr>
      <w:rFonts w:ascii="Cambria" w:cs="" w:hAnsi="Cambria"/>
      <w:b/>
      <w:bCs/>
      <w:color w:val="4F81BD"/>
      <w:sz w:val="26"/>
      <w:szCs w:val="26"/>
    </w:rPr>
  </w:style>
  <w:style w:styleId="style15" w:type="character">
    <w:name w:val="Default Paragraph Font"/>
    <w:next w:val="style15"/>
    <w:rPr/>
  </w:style>
  <w:style w:styleId="style16" w:type="character">
    <w:name w:val="Heading 2 Char"/>
    <w:basedOn w:val="style15"/>
    <w:next w:val="style16"/>
    <w:rPr>
      <w:rFonts w:ascii="Cambria" w:cs="" w:hAnsi="Cambria"/>
      <w:b/>
      <w:bCs/>
      <w:color w:val="4F81BD"/>
      <w:sz w:val="26"/>
      <w:szCs w:val="26"/>
    </w:rPr>
  </w:style>
  <w:style w:styleId="style17" w:type="character">
    <w:name w:val="Internet Link"/>
    <w:next w:val="style17"/>
    <w:rPr>
      <w:color w:val="000080"/>
      <w:u w:val="single"/>
      <w:lang w:bidi="zxx-" w:eastAsia="zxx-" w:val="zxx-"/>
    </w:rPr>
  </w:style>
  <w:style w:styleId="style18" w:type="character">
    <w:name w:val="Visited Internet Link"/>
    <w:next w:val="style18"/>
    <w:rPr>
      <w:color w:val="800000"/>
      <w:u w:val="single"/>
      <w:lang w:bidi="zxx-" w:eastAsia="zxx-" w:val="zxx-"/>
    </w:rPr>
  </w:style>
  <w:style w:styleId="style19" w:type="paragraph">
    <w:name w:val="Heading"/>
    <w:basedOn w:val="style0"/>
    <w:next w:val="style20"/>
    <w:pPr>
      <w:keepNext/>
      <w:spacing w:after="120" w:before="240"/>
      <w:contextualSpacing w:val="false"/>
    </w:pPr>
    <w:rPr>
      <w:rFonts w:ascii="Arial" w:cs="Lohit Hindi" w:eastAsia="Droid Sans Fallback" w:hAnsi="Arial"/>
      <w:sz w:val="28"/>
      <w:szCs w:val="28"/>
    </w:rPr>
  </w:style>
  <w:style w:styleId="style20" w:type="paragraph">
    <w:name w:val="Text Body"/>
    <w:basedOn w:val="style0"/>
    <w:next w:val="style20"/>
    <w:pPr>
      <w:spacing w:after="120" w:before="0"/>
      <w:contextualSpacing w:val="false"/>
    </w:pPr>
    <w:rPr/>
  </w:style>
  <w:style w:styleId="style21" w:type="paragraph">
    <w:name w:val="List"/>
    <w:basedOn w:val="style20"/>
    <w:next w:val="style21"/>
    <w:pPr/>
    <w:rPr>
      <w:rFonts w:cs="Lohit Hindi"/>
    </w:rPr>
  </w:style>
  <w:style w:styleId="style22" w:type="paragraph">
    <w:name w:val="Caption"/>
    <w:basedOn w:val="style0"/>
    <w:next w:val="style22"/>
    <w:pPr>
      <w:suppressLineNumbers/>
      <w:spacing w:after="120" w:before="120"/>
      <w:contextualSpacing w:val="false"/>
    </w:pPr>
    <w:rPr>
      <w:rFonts w:cs="Lohit Hindi"/>
      <w:i/>
      <w:iCs/>
      <w:sz w:val="24"/>
      <w:szCs w:val="24"/>
    </w:rPr>
  </w:style>
  <w:style w:styleId="style23" w:type="paragraph">
    <w:name w:val="Index"/>
    <w:basedOn w:val="style0"/>
    <w:next w:val="style23"/>
    <w:pPr>
      <w:suppressLineNumbers/>
    </w:pPr>
    <w:rPr>
      <w:rFonts w:cs="Lohit Hindi"/>
    </w:rPr>
  </w:style>
  <w:style w:styleId="style24" w:type="paragraph">
    <w:name w:val="List Paragraph"/>
    <w:basedOn w:val="style0"/>
    <w:next w:val="style24"/>
    <w:pPr>
      <w:spacing w:after="200" w:before="0"/>
      <w:ind w:hanging="0" w:left="720" w:right="0"/>
      <w:contextualSpacing/>
    </w:pPr>
    <w:rPr/>
  </w:style>
  <w:style w:styleId="style25" w:type="paragraph">
    <w:name w:val="Heading 3"/>
    <w:basedOn w:val="style19"/>
    <w:next w:val="style25"/>
    <w:pPr/>
    <w:rPr>
      <w:rFonts w:ascii="Cambria" w:cs="" w:eastAsia="Droid Sans Fallback" w:hAnsi="Cambria"/>
      <w:b/>
      <w:bCs/>
      <w:color w:val="4F81BD"/>
      <w:sz w:val="24"/>
      <w:szCs w:val="24"/>
      <w:lang w:bidi="ar-SA" w:eastAsia="en-US" w:val="en-A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csfe.aceworkspace.net/sf/docman/do/downloadDocument/projects.observable_and_investigation_mod/docman.root.project_group_meetings.project_group_meetings_2013.2013_03_25/doc7952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Application>LibreOffice/4.0.1.2$Linux_X86_64 LibreOffice_project/400m0$Build-2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2013-03-25T19:46:00.00Z</dcterms:created>
  <dc:creator>michael</dc:creator>
  <cp:lastModifiedBy>michael</cp:lastModifiedBy>
  <dcterms:modified xsi:type="dcterms:W3CDTF">2013-03-25T21:09:00.00Z</dcterms:modified>
  <cp:revision>3</cp:revision>
</cp:coreProperties>
</file>